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62" w:rsidRDefault="005D7A62" w:rsidP="005D7A62">
      <w:pPr>
        <w:spacing w:after="72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Magyar nyelv és irodalom osztályozóvizsga témakörök</w:t>
      </w:r>
    </w:p>
    <w:p w:rsidR="005D7A62" w:rsidRDefault="005D7A62" w:rsidP="005D7A62">
      <w:pPr>
        <w:spacing w:after="72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9.G osztály</w:t>
      </w:r>
    </w:p>
    <w:p w:rsidR="005D7A62" w:rsidRPr="005D7A62" w:rsidRDefault="005D7A62" w:rsidP="005D7A6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I</w:t>
      </w:r>
      <w:r w:rsidRPr="005D7A62">
        <w:rPr>
          <w:rFonts w:ascii="Calibri" w:eastAsia="Times New Roman" w:hAnsi="Calibri" w:cs="Calibri"/>
          <w:sz w:val="24"/>
          <w:szCs w:val="24"/>
          <w:lang w:eastAsia="hu-HU"/>
        </w:rPr>
        <w:t>rodalom:</w:t>
      </w:r>
    </w:p>
    <w:p w:rsidR="005D7A62" w:rsidRPr="005D7A62" w:rsidRDefault="005D7A62" w:rsidP="005D7A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Az ókori görög mitológia, a 12 görög főisten</w:t>
      </w:r>
    </w:p>
    <w:p w:rsidR="005D7A62" w:rsidRPr="005D7A62" w:rsidRDefault="005D7A62" w:rsidP="005D7A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Az ókori görög eposzok: Iliász, Odüsszeia</w:t>
      </w:r>
    </w:p>
    <w:p w:rsidR="005D7A62" w:rsidRPr="005D7A62" w:rsidRDefault="005D7A62" w:rsidP="005D7A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Az antik görög dráma: Antigoné</w:t>
      </w:r>
    </w:p>
    <w:p w:rsidR="005D7A62" w:rsidRPr="005D7A62" w:rsidRDefault="005D7A62" w:rsidP="005D7A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Biblia: Ószövetség és Újszövetség</w:t>
      </w:r>
    </w:p>
    <w:p w:rsidR="005D7A62" w:rsidRPr="005D7A62" w:rsidRDefault="005D7A62" w:rsidP="005D7A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középkori világi irodalom</w:t>
      </w:r>
    </w:p>
    <w:p w:rsidR="005D7A62" w:rsidRPr="005D7A62" w:rsidRDefault="005D7A62" w:rsidP="005D7A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magyar reneszánsz: Janus Pannonius</w:t>
      </w:r>
    </w:p>
    <w:p w:rsidR="005D7A62" w:rsidRPr="005D7A62" w:rsidRDefault="005D7A62" w:rsidP="005D7A6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sz w:val="24"/>
          <w:szCs w:val="24"/>
          <w:lang w:eastAsia="hu-HU"/>
        </w:rPr>
        <w:t>Kötelező vers: Janus Pannonius: Pannónia dicsérete</w:t>
      </w:r>
      <w:bookmarkStart w:id="0" w:name="_GoBack"/>
      <w:bookmarkEnd w:id="0"/>
    </w:p>
    <w:p w:rsidR="005D7A62" w:rsidRPr="005D7A62" w:rsidRDefault="005D7A62" w:rsidP="005D7A6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5D7A62" w:rsidRPr="005D7A62" w:rsidRDefault="005D7A62" w:rsidP="005D7A6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sz w:val="24"/>
          <w:szCs w:val="24"/>
          <w:lang w:eastAsia="hu-HU"/>
        </w:rPr>
        <w:t>Magyar nyelv:</w:t>
      </w:r>
    </w:p>
    <w:p w:rsidR="005D7A62" w:rsidRPr="005D7A62" w:rsidRDefault="005D7A62" w:rsidP="005D7A62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kommunikáció tényezői és funkciói</w:t>
      </w:r>
    </w:p>
    <w:p w:rsidR="005D7A62" w:rsidRPr="005D7A62" w:rsidRDefault="005D7A62" w:rsidP="005D7A62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nonverbális kommunikáció (metakommunikáció)</w:t>
      </w:r>
    </w:p>
    <w:p w:rsidR="005D7A62" w:rsidRPr="005D7A62" w:rsidRDefault="005D7A62" w:rsidP="005D7A62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tömegkommunikáció</w:t>
      </w:r>
    </w:p>
    <w:p w:rsidR="005D7A62" w:rsidRPr="005D7A62" w:rsidRDefault="005D7A62" w:rsidP="005D7A62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hangtörvények: magán- és mássalhangzótörvények</w:t>
      </w:r>
    </w:p>
    <w:p w:rsidR="005D7A62" w:rsidRPr="005D7A62" w:rsidRDefault="005D7A62" w:rsidP="005D7A62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D7A62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morfémák</w:t>
      </w:r>
    </w:p>
    <w:p w:rsidR="005D7A62" w:rsidRDefault="005D7A62"/>
    <w:sectPr w:rsidR="005D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2602"/>
    <w:multiLevelType w:val="multilevel"/>
    <w:tmpl w:val="CE0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7459C"/>
    <w:multiLevelType w:val="multilevel"/>
    <w:tmpl w:val="5F04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62"/>
    <w:rsid w:val="005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ED13"/>
  <w15:chartTrackingRefBased/>
  <w15:docId w15:val="{7CE8141C-F101-4ED5-A308-AB364B13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 </cp:lastModifiedBy>
  <cp:revision>1</cp:revision>
  <dcterms:created xsi:type="dcterms:W3CDTF">2025-06-25T11:43:00Z</dcterms:created>
  <dcterms:modified xsi:type="dcterms:W3CDTF">2025-06-25T11:44:00Z</dcterms:modified>
</cp:coreProperties>
</file>